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BETTEX — entidade, piloto e regras</w:t>
      </w:r>
    </w:p>
    <w:p>
      <w:r>
        <w:t xml:space="preserve">Empresa e administração</w:t>
      </w:r>
    </w:p>
    <w:p>
      <w:r>
        <w:t xml:space="preserve">A BETTEX é um produto de tecnologia que reúne aplicativo, token e agentes de IA. O usuário participa dos resultados do projeto conforme as regras do token, sem propriedade da empresa ou da tesouraria.</w:t>
      </w:r>
    </w:p>
    <w:p>
      <w:r>
        <w:t xml:space="preserve">Uma única empresa comercial privada de capital fechado a constituir, administrada pelo fundador Fred Azevedo em modelo full stack AI, sem funcionários. Serviços externos especializados são contratados por necessidade, não posições internas.</w:t>
      </w:r>
    </w:p>
    <w:p>
      <w:r>
        <w:t xml:space="preserve">A empresa reúne token, aplicativo, tesouraria, investimentos e obrigações do programa. Nome final, forma societária e jurisdição fazem parte da formalização. Titulares possuem tokens e direitos do programa, não ações, voto societário ou fração resgatável da tesouraria.</w:t>
      </w:r>
    </w:p>
    <w:p>
      <w:r>
        <w:t xml:space="preserve">A missão amplia alternativas de participação econômica durante a transição da IA e robótica. Transparência, compreensão, responsabilidade e prestação de contas orientam a operação, sem renda ou proteção de capital garantidas.</w:t>
      </w:r>
    </w:p>
    <w:p>
      <w:r>
        <w:t xml:space="preserve">Piloto e receita</w:t>
      </w:r>
    </w:p>
    <w:p>
      <w:r>
        <w:t xml:space="preserve">Capital do piloto: US$ 100 mil, sendo US$ 50 mil para tesouraria e US$ 50 mil para lançamento. Meta aos três meses: 5.000 usuários e 1.000 MAU. Aportes de investidores têm livre alocação; a destinação do piloto não é um split geral.</w:t>
      </w:r>
    </w:p>
    <w:p>
      <w:r>
        <w:t xml:space="preserve">Fred conduz aquisição pelos próprios canais e audiência, com IA e serviços externos necessários. Lançamento inclui impulsionamento, parcerias, segurança, mídia paga nos perfis do fundador e redes próprias.</w:t>
      </w:r>
    </w:p>
    <w:p>
      <w:r>
        <w:t xml:space="preserve">Receita de serviços = operações tarifadas × US$ 2,50. Cenários de 1, 10 e 30 operações por ativo consideram 1.000 MAU; 30 ilustra saques diários, sem presumir saldo ou adoção. Receita não é lucro: custos identificados e tributos vêm antes do líquido. Não há orçamento mensal ou data de equilíbrio presumidos.</w:t>
      </w:r>
    </w:p>
    <w:p>
      <w:r>
        <w:t xml:space="preserve">Token, captação e queima</w:t>
      </w:r>
    </w:p>
    <w:p>
      <w:r>
        <w:t xml:space="preserve">Emissão de 1 bilhão de BETTEX: 65% venda pública, 20% Fundador e equipe, 15% investidores. Vesting mensal por 36 meses desde a abertura da venda pública, com grupos inteiros 13:4:3. Liberação não comprova venda ou circulação.</w:t>
      </w:r>
    </w:p>
    <w:p>
      <w:r>
        <w:t xml:space="preserve">100% do preço da venda pública em USDC vai à tesouraria. Taxas de serviço separadas vão ao caixa operacional. Mercados externos não herdam automaticamente as condições do swap oficial.</w:t>
      </w:r>
    </w:p>
    <w:p>
      <w:r>
        <w:t xml:space="preserve">Resultado elegível, após tributos e controles, recebe 50% tesouraria, 25% staking e 25% carteira exclusiva de recompra. Sem pesos, reservas ou liquidez suficientes, 100% fica na tesouraria, sem split futuro. Compra usa autorização administrativa; todo BETTEX adquirido é queimado permanentemente. Carteira exclusiva não é o mecanismo de burn.</w:t>
      </w:r>
    </w:p>
    <w:p>
      <w:r>
        <w:t xml:space="preserve">Staking e sequência fiscal</w:t>
      </w:r>
    </w:p>
    <w:p>
      <w:r>
        <w:t xml:space="preserve">BETTEX disponível na carteira oficial participa automaticamente. Peso individual = soma de quantidade × tempo elegível. Pagamento bruto = parcela de staking × peso individual ÷ soma dos pesos elegíveis da própria rodada UTC.</w:t>
      </w:r>
    </w:p>
    <w:p>
      <w:r>
        <w:t xml:space="preserve">Cada rodada paga ou não paga, sem acumulação, reabertura ou complemento futuro. Qualquer saída BETTEX, inclusive parcial, zera o peso e cancela direitos ainda não pagos. Frações não executáveis retornam à tesouraria, sem crédito futuro. USDC recebido continua pessoal.</w:t>
      </w:r>
    </w:p>
    <w:p>
      <w:r>
        <w:t xml:space="preserve">Tributos imputáveis à entidade são apurados, descontados e recolhidos conforme obrigação aplicável antes do lucro elegível e split. Retenções aplicáveis são resolvidas antes do crédito líquido. Provisão não é recolhimento; contabilizar e pagar a mesma obrigação não permite dupla dedução. Não existe isenção pessoal universal.</w:t>
      </w:r>
    </w:p>
    <w:p>
      <w:r>
        <w:t xml:space="preserve">Somente USDC confirmado e conciliado entra no saldo disponível. Envios incertos não autorizam repetição nem são recursos recuperados. Correções mantêm histórico e efeitos únicos, sem débito automático na carteira pessoal.</w:t>
      </w:r>
    </w:p>
    <w:p>
      <w:r>
        <w:t xml:space="preserve">Governança e integrações</w:t>
      </w:r>
    </w:p>
    <w:p>
      <w:r>
        <w:t xml:space="preserve">Políticas evoluem por versões aprovadas. Administração define política; multisig 2 de 3 controla custódia; executores atuam dentro dos mandatos. Mudanças sensíveis aguardam no mínimo 24h; rotina já mandatada não exige nova assinatura por operação. IA não amplia as próprias permissões.</w:t>
      </w:r>
    </w:p>
    <w:p>
      <w:r>
        <w:t xml:space="preserve">Tesouraria, caixa operacional, carteira exclusiva de recompra e carteiras pessoais têm fronteiras próprias. Reserva defensiva segue a política aprovada, sem mínimo geral fixado em 50%. Novas operações exigem risco independente, disponibilidade e conciliação.</w:t>
      </w:r>
    </w:p>
    <w:p>
      <w:r>
        <w:t xml:space="preserve">Arbitrum fornece rede e contratos. Allora é candidata a inferências, não execução. Robinhood Crypto Trading API exige conta elegível nos Estados Unidos e autorização; não comprova acesso a ações. Consultas públicas Arbitrum/Gamma foram verificadas; demais exemplos sem acesso privado são simulações. Não houve operações com dinheiro real.</w:t>
      </w:r>
    </w:p>
    <w:p>
      <w:r>
        <w:t xml:space="preserve">https://www.linkedin.com/in/fredazevedo85/</w:t>
      </w:r>
    </w:p>
    <w:sectPr>
      <w:pgSz w:w="11906" w:h="16838"/>
      <w:pgMar w:top="1020" w:right="1020" w:bottom="1134" w:left="1020"/>
    </w:sectPr>
  </w:body>
</w:document>
</file>